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C03AAC">
      <w:pPr>
        <w:pStyle w:val="6"/>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13</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418455</w:t>
      </w:r>
      <w:bookmarkStart w:id="8" w:name="_GoBack"/>
      <w:bookmarkEnd w:id="8"/>
      <w:r>
        <w:rPr>
          <w:b/>
          <w:sz w:val="24"/>
          <w:szCs w:val="24"/>
          <w:highlight w:val="none"/>
        </w:rPr>
        <w:t xml:space="preserve">                      </w:t>
      </w:r>
    </w:p>
    <w:bookmarkEnd w:id="0"/>
    <w:bookmarkEnd w:id="1"/>
    <w:p w14:paraId="3ADB2202">
      <w:pPr>
        <w:pStyle w:val="6"/>
        <w:tabs>
          <w:tab w:val="right" w:pos="9781"/>
          <w:tab w:val="right" w:pos="13323"/>
          <w:tab w:val="clear" w:pos="4153"/>
          <w:tab w:val="clear" w:pos="8306"/>
        </w:tabs>
        <w:outlineLvl w:val="0"/>
        <w:rPr>
          <w:rFonts w:hint="eastAsia"/>
          <w:b/>
          <w:sz w:val="24"/>
          <w:szCs w:val="24"/>
          <w:highlight w:val="none"/>
        </w:rPr>
      </w:pPr>
      <w:r>
        <w:rPr>
          <w:rFonts w:hint="eastAsia"/>
          <w:b/>
          <w:sz w:val="24"/>
          <w:szCs w:val="24"/>
          <w:highlight w:val="none"/>
        </w:rPr>
        <w:t>Orlando, US, 18</w:t>
      </w:r>
      <w:r>
        <w:rPr>
          <w:rFonts w:hint="eastAsia"/>
          <w:b/>
          <w:sz w:val="24"/>
          <w:szCs w:val="24"/>
          <w:highlight w:val="none"/>
          <w:vertAlign w:val="superscript"/>
        </w:rPr>
        <w:t>th</w:t>
      </w:r>
      <w:r>
        <w:rPr>
          <w:rFonts w:hint="eastAsia"/>
          <w:b/>
          <w:sz w:val="24"/>
          <w:szCs w:val="24"/>
          <w:highlight w:val="none"/>
        </w:rPr>
        <w:t xml:space="preserve"> - 22</w:t>
      </w:r>
      <w:r>
        <w:rPr>
          <w:rFonts w:hint="eastAsia"/>
          <w:b/>
          <w:sz w:val="24"/>
          <w:szCs w:val="24"/>
          <w:highlight w:val="none"/>
          <w:vertAlign w:val="superscript"/>
        </w:rPr>
        <w:t>nd</w:t>
      </w:r>
      <w:r>
        <w:rPr>
          <w:rFonts w:hint="eastAsia"/>
          <w:b/>
          <w:sz w:val="24"/>
          <w:szCs w:val="24"/>
          <w:highlight w:val="none"/>
        </w:rPr>
        <w:t xml:space="preserve"> November, 2024</w:t>
      </w:r>
    </w:p>
    <w:p w14:paraId="3D617AAD">
      <w:pPr>
        <w:tabs>
          <w:tab w:val="left" w:pos="1985"/>
        </w:tabs>
        <w:rPr>
          <w:rFonts w:ascii="Times New Roman" w:hAnsi="Times New Roman"/>
          <w:b/>
          <w:sz w:val="22"/>
          <w:highlight w:val="none"/>
        </w:rPr>
      </w:pPr>
    </w:p>
    <w:p w14:paraId="3676EA0C">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17</w:t>
      </w:r>
      <w:r>
        <w:rPr>
          <w:rFonts w:hint="eastAsia" w:ascii="Times New Roman" w:hAnsi="Times New Roman"/>
          <w:sz w:val="22"/>
          <w:highlight w:val="none"/>
        </w:rPr>
        <w:t>.</w:t>
      </w:r>
      <w:r>
        <w:rPr>
          <w:rFonts w:hint="eastAsia" w:ascii="Times New Roman" w:hAnsi="Times New Roman"/>
          <w:sz w:val="22"/>
          <w:highlight w:val="none"/>
          <w:lang w:val="en-US" w:eastAsia="zh-CN"/>
        </w:rPr>
        <w:t>2.1</w:t>
      </w:r>
    </w:p>
    <w:p w14:paraId="6C5DDFAA">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2E69CEEC">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r>
        <w:rPr>
          <w:rFonts w:ascii="Times New Roman" w:hAnsi="Times New Roman"/>
          <w:b/>
          <w:sz w:val="22"/>
        </w:rPr>
        <w:t xml:space="preserve"> </w:t>
      </w:r>
      <w:bookmarkStart w:id="2" w:name="OLE_LINK24"/>
      <w:bookmarkStart w:id="3" w:name="OLE_LINK23"/>
      <w:bookmarkStart w:id="4" w:name="OLE_LINK8"/>
      <w:bookmarkStart w:id="5" w:name="OLE_LINK7"/>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testability and interoperability issues for CSI compression</w:t>
      </w:r>
    </w:p>
    <w:bookmarkEnd w:id="4"/>
    <w:bookmarkEnd w:id="5"/>
    <w:p w14:paraId="34A4438F">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06F58ECE">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756A966C">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102</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W</w:t>
      </w:r>
      <w:r>
        <w:rPr>
          <w:rFonts w:ascii="Times New Roman" w:hAnsi="Times New Roman"/>
          <w:sz w:val="20"/>
          <w:szCs w:val="20"/>
        </w:rPr>
        <w:t>ID on Artificial Intelligence (AI)/Machine Learning (ML) for NR Air Interface was approved [1]. In RAN #</w:t>
      </w:r>
      <w:r>
        <w:rPr>
          <w:rFonts w:hint="eastAsia" w:ascii="Times New Roman" w:hAnsi="Times New Roman"/>
          <w:sz w:val="20"/>
          <w:szCs w:val="20"/>
          <w:lang w:val="en-US" w:eastAsia="zh-CN"/>
        </w:rPr>
        <w:t>105</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ID on Artificial Intelligence (AI)/Machine Learning (ML) for NR Air Interface was approved [</w:t>
      </w:r>
      <w:r>
        <w:rPr>
          <w:rFonts w:hint="eastAsia" w:ascii="Times New Roman" w:hAnsi="Times New Roman"/>
          <w:sz w:val="20"/>
          <w:szCs w:val="20"/>
          <w:lang w:val="en-US" w:eastAsia="zh-CN"/>
        </w:rPr>
        <w:t>2</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The objectives for RAN4 are duplicated as following.</w:t>
      </w:r>
    </w:p>
    <w:tbl>
      <w:tblPr>
        <w:tblStyle w:val="7"/>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34A8A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5C536AD9">
            <w:pPr>
              <w:numPr>
                <w:ilvl w:val="0"/>
                <w:numId w:val="4"/>
              </w:numPr>
              <w:spacing w:after="0"/>
              <w:ind w:left="300" w:leftChars="0"/>
              <w:rPr>
                <w:rFonts w:hint="default" w:ascii="Times New Roman" w:hAnsi="Times New Roman" w:cs="Times New Roman"/>
                <w:bCs/>
                <w:sz w:val="20"/>
                <w:szCs w:val="20"/>
              </w:rPr>
            </w:pPr>
            <w:r>
              <w:rPr>
                <w:rFonts w:hint="default" w:ascii="Times New Roman" w:hAnsi="Times New Roman" w:eastAsia="Batang" w:cs="Times New Roman"/>
                <w:sz w:val="20"/>
                <w:szCs w:val="20"/>
              </w:rPr>
              <w:t xml:space="preserve">Core requirements for </w:t>
            </w:r>
            <w:r>
              <w:rPr>
                <w:rFonts w:hint="default" w:ascii="Times New Roman" w:hAnsi="Times New Roman" w:cs="Times New Roman"/>
                <w:bCs/>
                <w:sz w:val="20"/>
                <w:szCs w:val="20"/>
              </w:rPr>
              <w:t xml:space="preserve">the above two use cases for AI/ML </w:t>
            </w:r>
            <w:r>
              <w:rPr>
                <w:rFonts w:hint="default" w:ascii="Times New Roman" w:hAnsi="Times New Roman" w:eastAsia="Batang" w:cs="Times New Roman"/>
                <w:sz w:val="20"/>
                <w:szCs w:val="20"/>
              </w:rPr>
              <w:t>LCM procedures and UE features [RAN4]:</w:t>
            </w:r>
          </w:p>
          <w:p w14:paraId="2622608B">
            <w:pPr>
              <w:numPr>
                <w:ilvl w:val="1"/>
                <w:numId w:val="4"/>
              </w:numPr>
              <w:spacing w:after="0"/>
              <w:ind w:left="1020" w:leftChars="0"/>
              <w:rPr>
                <w:rFonts w:hint="default" w:ascii="Times New Roman" w:hAnsi="Times New Roman" w:cs="Times New Roman"/>
                <w:bCs/>
                <w:sz w:val="20"/>
                <w:szCs w:val="20"/>
              </w:rPr>
            </w:pPr>
            <w:r>
              <w:rPr>
                <w:rFonts w:hint="default" w:ascii="Times New Roman" w:hAnsi="Times New Roman" w:cs="Times New Roman"/>
                <w:bCs/>
                <w:sz w:val="20"/>
                <w:szCs w:val="20"/>
              </w:rPr>
              <w:t>Specify necessary RAN4 core requirements for the above three use cases. This includes the test setup and methodology for the beam management use case.</w:t>
            </w:r>
          </w:p>
          <w:p w14:paraId="68B6ED5C">
            <w:pPr>
              <w:numPr>
                <w:ilvl w:val="1"/>
                <w:numId w:val="4"/>
              </w:numPr>
              <w:spacing w:after="0"/>
              <w:ind w:left="1020" w:leftChars="0"/>
              <w:rPr>
                <w:rFonts w:hint="default" w:ascii="Times New Roman" w:hAnsi="Times New Roman" w:cs="Times New Roman"/>
                <w:bCs/>
                <w:sz w:val="20"/>
                <w:szCs w:val="20"/>
              </w:rPr>
            </w:pPr>
            <w:r>
              <w:rPr>
                <w:rFonts w:hint="default" w:ascii="Times New Roman" w:hAnsi="Times New Roman" w:eastAsia="Batang" w:cs="Times New Roman"/>
                <w:sz w:val="20"/>
                <w:szCs w:val="20"/>
              </w:rPr>
              <w:t>Specify necessary RAN4 core requirements for LCM procedures including performance monitoring.</w:t>
            </w:r>
          </w:p>
          <w:p w14:paraId="38DB8226">
            <w:pPr>
              <w:numPr>
                <w:ilvl w:val="0"/>
                <w:numId w:val="0"/>
              </w:numPr>
              <w:spacing w:after="0"/>
              <w:ind w:left="-60" w:leftChars="0"/>
              <w:rPr>
                <w:rFonts w:hint="default" w:ascii="Times New Roman" w:hAnsi="Times New Roman" w:cs="Times New Roman"/>
                <w:bCs/>
                <w:sz w:val="20"/>
                <w:szCs w:val="20"/>
              </w:rPr>
            </w:pPr>
          </w:p>
          <w:p w14:paraId="11C16C23">
            <w:pPr>
              <w:numPr>
                <w:ilvl w:val="0"/>
                <w:numId w:val="5"/>
              </w:numPr>
              <w:spacing w:after="0"/>
              <w:ind w:left="300" w:leftChars="0"/>
              <w:rPr>
                <w:rFonts w:hint="default" w:ascii="Times New Roman" w:hAnsi="Times New Roman" w:cs="Times New Roman"/>
                <w:bCs/>
                <w:sz w:val="20"/>
                <w:szCs w:val="20"/>
              </w:rPr>
            </w:pPr>
            <w:r>
              <w:rPr>
                <w:rFonts w:hint="default" w:ascii="Times New Roman" w:hAnsi="Times New Roman" w:cs="Times New Roman"/>
                <w:bCs/>
                <w:sz w:val="20"/>
                <w:szCs w:val="20"/>
              </w:rPr>
              <w:t xml:space="preserve">Testability and interoperability [RAN4]: </w:t>
            </w:r>
          </w:p>
          <w:p w14:paraId="3971807E">
            <w:pPr>
              <w:numPr>
                <w:ilvl w:val="1"/>
                <w:numId w:val="5"/>
              </w:numPr>
              <w:spacing w:after="0"/>
              <w:ind w:left="1020" w:leftChars="0"/>
              <w:rPr>
                <w:rFonts w:hint="default" w:ascii="Times New Roman" w:hAnsi="Times New Roman" w:cs="Times New Roman"/>
                <w:bCs/>
                <w:sz w:val="20"/>
                <w:szCs w:val="20"/>
              </w:rPr>
            </w:pPr>
            <w:r>
              <w:rPr>
                <w:rFonts w:hint="default" w:ascii="Times New Roman" w:hAnsi="Times New Roman" w:cs="Times New Roman"/>
                <w:bCs/>
                <w:sz w:val="20"/>
                <w:szCs w:val="20"/>
              </w:rPr>
              <w:t xml:space="preserve">Finalize the testing framework and procedure for one-sided models and further analyse the various testing options for two-sided models, in collaboration with RAN1, and including at least: </w:t>
            </w:r>
          </w:p>
          <w:p w14:paraId="4A66B590">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Relation to legacy requirements</w:t>
            </w:r>
          </w:p>
          <w:p w14:paraId="37D57965">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Performance monitoring and LCM aspects considering use-case specifics</w:t>
            </w:r>
          </w:p>
          <w:p w14:paraId="5FA56B5F">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 xml:space="preserve">Generalization aspects </w:t>
            </w:r>
          </w:p>
          <w:p w14:paraId="7EEA0EA1">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Static/non-static scenarios/conditions and propagation conditions for testing (e.g., CDL, field data, etc.)</w:t>
            </w:r>
          </w:p>
          <w:p w14:paraId="6955C761">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UE processing capability and limitations</w:t>
            </w:r>
          </w:p>
          <w:p w14:paraId="63C862D2">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cs="Times New Roman"/>
                <w:bCs/>
                <w:sz w:val="20"/>
                <w:szCs w:val="20"/>
              </w:rPr>
            </w:pPr>
            <w:r>
              <w:rPr>
                <w:rFonts w:hint="default" w:ascii="Times New Roman" w:hAnsi="Times New Roman" w:eastAsia="Batang" w:cs="Times New Roman"/>
                <w:sz w:val="20"/>
                <w:szCs w:val="20"/>
              </w:rPr>
              <w:t>Post-deployment validation due to model change/drift</w:t>
            </w:r>
          </w:p>
        </w:tc>
      </w:tr>
    </w:tbl>
    <w:p w14:paraId="405188DE">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Artificial Intelligence (AI)/Machine Learning (ML) for NR Air Interface, and a WF was approved [3]. </w:t>
      </w:r>
      <w:r>
        <w:rPr>
          <w:rFonts w:ascii="Times New Roman" w:hAnsi="Times New Roman"/>
          <w:sz w:val="20"/>
          <w:szCs w:val="20"/>
        </w:rPr>
        <w:t>T</w:t>
      </w:r>
      <w:r>
        <w:rPr>
          <w:rFonts w:hint="eastAsia" w:ascii="Times New Roman" w:hAnsi="Times New Roman"/>
          <w:sz w:val="20"/>
          <w:szCs w:val="20"/>
        </w:rPr>
        <w:t>his contribution provides discussion on testability and interoperability issues for  CSI compression.</w:t>
      </w:r>
    </w:p>
    <w:p w14:paraId="55F54AC1">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bookmarkEnd w:id="6"/>
    <w:bookmarkEnd w:id="7"/>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D930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9ED5C96">
            <w:pPr>
              <w:rPr>
                <w:rFonts w:hint="default" w:ascii="Times New Roman" w:hAnsi="Times New Roman" w:cs="Times New Roman"/>
                <w:b/>
                <w:color w:val="auto"/>
                <w:sz w:val="20"/>
                <w:szCs w:val="20"/>
                <w:u w:val="single"/>
                <w:lang w:eastAsia="ko-KR"/>
              </w:rPr>
            </w:pPr>
            <w:r>
              <w:rPr>
                <w:rFonts w:hint="default" w:ascii="Times New Roman" w:hAnsi="Times New Roman" w:cs="Times New Roman"/>
                <w:b/>
                <w:color w:val="auto"/>
                <w:sz w:val="20"/>
                <w:szCs w:val="20"/>
                <w:u w:val="single"/>
                <w:lang w:eastAsia="ko-KR"/>
              </w:rPr>
              <w:t xml:space="preserve">Issue 4-2: </w:t>
            </w:r>
            <w:r>
              <w:rPr>
                <w:rFonts w:hint="default" w:ascii="Times New Roman" w:hAnsi="Times New Roman" w:eastAsia="Yu Mincho" w:cs="Times New Roman"/>
                <w:b/>
                <w:color w:val="auto"/>
                <w:sz w:val="20"/>
                <w:szCs w:val="20"/>
                <w:u w:val="single"/>
                <w:lang w:eastAsia="ja-JP"/>
              </w:rPr>
              <w:t>Selection criteria for decoder(s)</w:t>
            </w:r>
          </w:p>
          <w:p w14:paraId="2BEAA1D4">
            <w:pPr>
              <w:pStyle w:val="10"/>
              <w:numPr>
                <w:ilvl w:val="0"/>
                <w:numId w:val="6"/>
              </w:numPr>
              <w:overflowPunct/>
              <w:autoSpaceDE/>
              <w:autoSpaceDN/>
              <w:adjustRightInd/>
              <w:spacing w:after="120"/>
              <w:ind w:left="72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Proposals</w:t>
            </w:r>
          </w:p>
          <w:p w14:paraId="16EDCF9A">
            <w:pPr>
              <w:pStyle w:val="10"/>
              <w:numPr>
                <w:ilvl w:val="1"/>
                <w:numId w:val="6"/>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Option 1: </w:t>
            </w:r>
            <w:r>
              <w:rPr>
                <w:rFonts w:hint="default" w:ascii="Times New Roman" w:hAnsi="Times New Roman" w:eastAsia="Yu Mincho" w:cs="Times New Roman"/>
                <w:color w:val="auto"/>
                <w:sz w:val="20"/>
                <w:szCs w:val="20"/>
                <w:lang w:eastAsia="ja-JP"/>
              </w:rPr>
              <w:t>Select a single decoder, the decoder with best SGCS</w:t>
            </w:r>
          </w:p>
          <w:p w14:paraId="7A1D83FA">
            <w:pPr>
              <w:pStyle w:val="10"/>
              <w:numPr>
                <w:ilvl w:val="1"/>
                <w:numId w:val="6"/>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Option 2: </w:t>
            </w:r>
            <w:r>
              <w:rPr>
                <w:rFonts w:hint="default" w:ascii="Times New Roman" w:hAnsi="Times New Roman" w:eastAsia="Yu Mincho" w:cs="Times New Roman"/>
                <w:color w:val="auto"/>
                <w:sz w:val="20"/>
                <w:szCs w:val="20"/>
                <w:lang w:eastAsia="ja-JP"/>
              </w:rPr>
              <w:t>Select 3 decoders: with highest, lowest and closest to mean relative performance gain in SGCS over eTypeII decoder.</w:t>
            </w:r>
          </w:p>
          <w:p w14:paraId="7E3C80FD">
            <w:pPr>
              <w:pStyle w:val="10"/>
              <w:numPr>
                <w:ilvl w:val="1"/>
                <w:numId w:val="6"/>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Yu Mincho" w:cs="Times New Roman"/>
                <w:color w:val="auto"/>
                <w:sz w:val="20"/>
                <w:szCs w:val="20"/>
                <w:lang w:eastAsia="ja-JP"/>
              </w:rPr>
              <w:t>Option 3: Select 3 decoders randomly</w:t>
            </w:r>
          </w:p>
          <w:p w14:paraId="697D9B3E">
            <w:pPr>
              <w:pStyle w:val="10"/>
              <w:numPr>
                <w:ilvl w:val="1"/>
                <w:numId w:val="6"/>
              </w:numPr>
              <w:overflowPunct/>
              <w:autoSpaceDE/>
              <w:autoSpaceDN/>
              <w:adjustRightInd/>
              <w:spacing w:after="120"/>
              <w:ind w:left="1440" w:firstLineChars="0"/>
              <w:textAlignment w:val="auto"/>
              <w:rPr>
                <w:rFonts w:hint="default" w:ascii="Times New Roman" w:hAnsi="Times New Roman" w:eastAsia="等线" w:cs="Times New Roman"/>
                <w:bCs/>
                <w:iCs/>
                <w:color w:val="auto"/>
                <w:sz w:val="20"/>
                <w:szCs w:val="20"/>
                <w:vertAlign w:val="baseline"/>
                <w:lang w:val="en-US" w:eastAsia="zh-CN"/>
              </w:rPr>
            </w:pPr>
            <w:r>
              <w:rPr>
                <w:rFonts w:hint="default" w:ascii="Times New Roman" w:hAnsi="Times New Roman" w:eastAsia="Yu Mincho" w:cs="Times New Roman"/>
                <w:color w:val="auto"/>
                <w:sz w:val="20"/>
                <w:szCs w:val="20"/>
                <w:lang w:eastAsia="ja-JP"/>
              </w:rPr>
              <w:t>Option 4: others</w:t>
            </w:r>
          </w:p>
        </w:tc>
      </w:tr>
    </w:tbl>
    <w:p w14:paraId="059097A5">
      <w:pPr>
        <w:spacing w:after="180" w:line="240" w:lineRule="exact"/>
        <w:rPr>
          <w:rFonts w:hint="eastAsia" w:ascii="Times New Roman" w:hAnsi="Times New Roman" w:eastAsia="等线"/>
          <w:bCs/>
          <w:iCs/>
          <w:sz w:val="20"/>
          <w:szCs w:val="20"/>
          <w:lang w:val="en-US" w:eastAsia="zh-CN"/>
        </w:rPr>
      </w:pPr>
    </w:p>
    <w:p w14:paraId="19033BDA">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The discussion is for checking the feasibility of testing option 3 for CSI compression. Since this is for feasibility check, no need to spend much time on slection criteria. For simplicity, ransom selection can be considered. As for the number of selected decoders, we do not have strong view.</w:t>
      </w:r>
    </w:p>
    <w:p w14:paraId="69A1DA75">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for option 3 feasibility strudy, the decoders can be selected randomly.</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0C33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E51AA71">
            <w:pPr>
              <w:rPr>
                <w:rFonts w:hint="default" w:ascii="Times New Roman" w:hAnsi="Times New Roman" w:eastAsia="Yu Mincho" w:cs="Times New Roman"/>
                <w:b/>
                <w:color w:val="auto"/>
                <w:sz w:val="20"/>
                <w:szCs w:val="20"/>
                <w:u w:val="single"/>
                <w:lang w:eastAsia="ja-JP"/>
              </w:rPr>
            </w:pPr>
            <w:r>
              <w:rPr>
                <w:rFonts w:hint="default" w:ascii="Times New Roman" w:hAnsi="Times New Roman" w:cs="Times New Roman"/>
                <w:b/>
                <w:color w:val="auto"/>
                <w:sz w:val="20"/>
                <w:szCs w:val="20"/>
                <w:u w:val="single"/>
                <w:lang w:eastAsia="ko-KR"/>
              </w:rPr>
              <w:t>Issue 4-4: Option 4</w:t>
            </w:r>
            <w:r>
              <w:rPr>
                <w:rFonts w:hint="default" w:ascii="Times New Roman" w:hAnsi="Times New Roman" w:eastAsia="Yu Mincho" w:cs="Times New Roman"/>
                <w:b/>
                <w:color w:val="auto"/>
                <w:sz w:val="20"/>
                <w:szCs w:val="20"/>
                <w:u w:val="single"/>
                <w:lang w:eastAsia="ja-JP"/>
              </w:rPr>
              <w:t>a(Dataset based)</w:t>
            </w:r>
            <w:r>
              <w:rPr>
                <w:rFonts w:hint="default" w:ascii="Times New Roman" w:hAnsi="Times New Roman" w:cs="Times New Roman"/>
                <w:b/>
                <w:color w:val="auto"/>
                <w:sz w:val="20"/>
                <w:szCs w:val="20"/>
                <w:u w:val="single"/>
                <w:lang w:eastAsia="ko-KR"/>
              </w:rPr>
              <w:t xml:space="preserve"> for 2-sided model</w:t>
            </w:r>
            <w:r>
              <w:rPr>
                <w:rFonts w:hint="default" w:ascii="Times New Roman" w:hAnsi="Times New Roman" w:eastAsia="Yu Mincho" w:cs="Times New Roman"/>
                <w:b/>
                <w:color w:val="auto"/>
                <w:sz w:val="20"/>
                <w:szCs w:val="20"/>
                <w:u w:val="single"/>
                <w:lang w:eastAsia="ja-JP"/>
              </w:rPr>
              <w:t xml:space="preserve"> </w:t>
            </w:r>
          </w:p>
          <w:p w14:paraId="61538D41">
            <w:pPr>
              <w:pStyle w:val="10"/>
              <w:numPr>
                <w:ilvl w:val="0"/>
                <w:numId w:val="6"/>
              </w:numPr>
              <w:overflowPunct/>
              <w:autoSpaceDE/>
              <w:autoSpaceDN/>
              <w:adjustRightInd/>
              <w:spacing w:after="120"/>
              <w:ind w:left="72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Proposals</w:t>
            </w:r>
          </w:p>
          <w:p w14:paraId="3EFBE8DE">
            <w:pPr>
              <w:pStyle w:val="10"/>
              <w:numPr>
                <w:ilvl w:val="1"/>
                <w:numId w:val="6"/>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Option 1: </w:t>
            </w:r>
            <w:r>
              <w:rPr>
                <w:rFonts w:hint="default" w:ascii="Times New Roman" w:hAnsi="Times New Roman" w:eastAsia="Yu Mincho" w:cs="Times New Roman"/>
                <w:color w:val="auto"/>
                <w:sz w:val="20"/>
                <w:szCs w:val="20"/>
                <w:lang w:eastAsia="ja-JP"/>
              </w:rPr>
              <w:t xml:space="preserve">Next steps: </w:t>
            </w:r>
          </w:p>
          <w:p w14:paraId="0C56AC62">
            <w:pPr>
              <w:pStyle w:val="10"/>
              <w:numPr>
                <w:ilvl w:val="3"/>
                <w:numId w:val="7"/>
              </w:numPr>
              <w:overflowPunct/>
              <w:autoSpaceDE/>
              <w:autoSpaceDN/>
              <w:adjustRightInd/>
              <w:spacing w:after="120"/>
              <w:ind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Yu Mincho" w:cs="Times New Roman"/>
                <w:color w:val="auto"/>
                <w:sz w:val="20"/>
                <w:szCs w:val="20"/>
                <w:lang w:eastAsia="ja-JP"/>
              </w:rPr>
              <w:t>Discuss/decide how to generate the training dataset and other assumptions</w:t>
            </w:r>
          </w:p>
          <w:p w14:paraId="3D61A52C">
            <w:pPr>
              <w:pStyle w:val="10"/>
              <w:numPr>
                <w:ilvl w:val="0"/>
                <w:numId w:val="8"/>
              </w:numPr>
              <w:overflowPunct/>
              <w:autoSpaceDE/>
              <w:autoSpaceDN/>
              <w:adjustRightInd/>
              <w:spacing w:after="120"/>
              <w:ind w:firstLine="1123"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Yu Mincho" w:cs="Times New Roman"/>
                <w:color w:val="auto"/>
                <w:sz w:val="20"/>
                <w:szCs w:val="20"/>
                <w:lang w:eastAsia="ja-JP"/>
              </w:rPr>
              <w:t xml:space="preserve">need to align the ML model, what should the dataset contain (channel/eigenvector realization, etc), how to generate the dataset (aggregate dataset based on inputs from multiple companies, etc),  </w:t>
            </w:r>
          </w:p>
          <w:p w14:paraId="02811218">
            <w:pPr>
              <w:pStyle w:val="10"/>
              <w:numPr>
                <w:ilvl w:val="3"/>
                <w:numId w:val="7"/>
              </w:numPr>
              <w:spacing w:after="120"/>
              <w:ind w:firstLineChars="0"/>
              <w:rPr>
                <w:rFonts w:hint="default" w:ascii="Times New Roman" w:hAnsi="Times New Roman" w:eastAsia="Yu Mincho" w:cs="Times New Roman"/>
                <w:color w:val="auto"/>
                <w:sz w:val="20"/>
                <w:szCs w:val="20"/>
                <w:lang w:eastAsia="ja-JP"/>
              </w:rPr>
            </w:pPr>
            <w:r>
              <w:rPr>
                <w:rFonts w:hint="default" w:ascii="Times New Roman" w:hAnsi="Times New Roman" w:eastAsia="Yu Mincho" w:cs="Times New Roman"/>
                <w:color w:val="auto"/>
                <w:sz w:val="20"/>
                <w:szCs w:val="20"/>
                <w:lang w:eastAsia="ja-JP"/>
              </w:rPr>
              <w:t>Check on performance alignment see simulation results from contributing companies</w:t>
            </w:r>
          </w:p>
          <w:p w14:paraId="5EEDCFC4">
            <w:pPr>
              <w:pStyle w:val="10"/>
              <w:numPr>
                <w:ilvl w:val="0"/>
                <w:numId w:val="8"/>
              </w:numPr>
              <w:spacing w:after="120"/>
              <w:ind w:firstLine="1123" w:firstLineChars="0"/>
              <w:rPr>
                <w:rFonts w:hint="default" w:ascii="Times New Roman" w:hAnsi="Times New Roman" w:eastAsia="Yu Mincho" w:cs="Times New Roman"/>
                <w:color w:val="auto"/>
                <w:sz w:val="20"/>
                <w:szCs w:val="20"/>
                <w:lang w:eastAsia="ja-JP"/>
              </w:rPr>
            </w:pPr>
            <w:r>
              <w:rPr>
                <w:rFonts w:hint="default" w:ascii="Times New Roman" w:hAnsi="Times New Roman" w:eastAsia="Yu Mincho" w:cs="Times New Roman"/>
                <w:color w:val="auto"/>
                <w:sz w:val="20"/>
                <w:szCs w:val="20"/>
                <w:lang w:eastAsia="ja-JP"/>
              </w:rPr>
              <w:t>repeat simulations until good alignment is achieved</w:t>
            </w:r>
          </w:p>
          <w:p w14:paraId="236A8EC8">
            <w:pPr>
              <w:pStyle w:val="10"/>
              <w:numPr>
                <w:ilvl w:val="0"/>
                <w:numId w:val="8"/>
              </w:numPr>
              <w:spacing w:after="120"/>
              <w:ind w:firstLine="1123" w:firstLineChars="0"/>
              <w:rPr>
                <w:rFonts w:hint="default" w:ascii="Times New Roman" w:hAnsi="Times New Roman" w:eastAsia="Yu Mincho" w:cs="Times New Roman"/>
                <w:color w:val="auto"/>
                <w:sz w:val="20"/>
                <w:szCs w:val="20"/>
                <w:lang w:eastAsia="ja-JP"/>
              </w:rPr>
            </w:pPr>
            <w:r>
              <w:rPr>
                <w:rFonts w:hint="default" w:ascii="Times New Roman" w:hAnsi="Times New Roman" w:eastAsia="Yu Mincho" w:cs="Times New Roman"/>
                <w:color w:val="auto"/>
                <w:sz w:val="20"/>
                <w:szCs w:val="20"/>
                <w:lang w:eastAsia="ja-JP"/>
              </w:rPr>
              <w:t>move to next step after alignment</w:t>
            </w:r>
          </w:p>
          <w:p w14:paraId="48EC3810">
            <w:pPr>
              <w:pStyle w:val="10"/>
              <w:numPr>
                <w:ilvl w:val="3"/>
                <w:numId w:val="7"/>
              </w:numPr>
              <w:overflowPunct/>
              <w:autoSpaceDE/>
              <w:autoSpaceDN/>
              <w:adjustRightInd/>
              <w:spacing w:after="120"/>
              <w:ind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Yu Mincho" w:cs="Times New Roman"/>
                <w:color w:val="auto"/>
                <w:sz w:val="20"/>
                <w:szCs w:val="20"/>
                <w:lang w:eastAsia="ja-JP"/>
              </w:rPr>
              <w:t>Share models (encoder and/or decoder)/datasets (training/testing/inference) (sharing framework is currently under discussion)</w:t>
            </w:r>
          </w:p>
          <w:p w14:paraId="44C6F40B">
            <w:pPr>
              <w:pStyle w:val="10"/>
              <w:numPr>
                <w:ilvl w:val="3"/>
                <w:numId w:val="7"/>
              </w:numPr>
              <w:overflowPunct/>
              <w:autoSpaceDE/>
              <w:autoSpaceDN/>
              <w:adjustRightInd/>
              <w:spacing w:after="120"/>
              <w:ind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Yu Mincho" w:cs="Times New Roman"/>
                <w:color w:val="auto"/>
                <w:sz w:val="20"/>
                <w:szCs w:val="20"/>
                <w:lang w:eastAsia="ja-JP"/>
              </w:rPr>
              <w:t>Select one or more datasets for further analysis</w:t>
            </w:r>
          </w:p>
          <w:p w14:paraId="3634A10E">
            <w:pPr>
              <w:pStyle w:val="10"/>
              <w:numPr>
                <w:ilvl w:val="0"/>
                <w:numId w:val="8"/>
              </w:numPr>
              <w:spacing w:after="120"/>
              <w:ind w:firstLine="1123" w:firstLineChars="0"/>
              <w:rPr>
                <w:rFonts w:hint="default" w:ascii="Times New Roman" w:hAnsi="Times New Roman" w:eastAsia="宋体" w:cs="Times New Roman"/>
                <w:color w:val="auto"/>
                <w:sz w:val="20"/>
                <w:szCs w:val="20"/>
                <w:lang w:eastAsia="zh-CN"/>
              </w:rPr>
            </w:pPr>
            <w:r>
              <w:rPr>
                <w:rFonts w:hint="default" w:ascii="Times New Roman" w:hAnsi="Times New Roman" w:eastAsia="Yu Mincho" w:cs="Times New Roman"/>
                <w:color w:val="auto"/>
                <w:sz w:val="20"/>
                <w:szCs w:val="20"/>
                <w:lang w:eastAsia="ja-JP"/>
              </w:rPr>
              <w:t>Selection criteria is TBD</w:t>
            </w:r>
          </w:p>
          <w:p w14:paraId="5BC7D418">
            <w:pPr>
              <w:pStyle w:val="10"/>
              <w:numPr>
                <w:ilvl w:val="3"/>
                <w:numId w:val="7"/>
              </w:numPr>
              <w:overflowPunct/>
              <w:autoSpaceDE/>
              <w:autoSpaceDN/>
              <w:adjustRightInd/>
              <w:spacing w:after="120"/>
              <w:ind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Yu Mincho" w:cs="Times New Roman"/>
                <w:color w:val="auto"/>
                <w:sz w:val="20"/>
                <w:szCs w:val="20"/>
                <w:lang w:eastAsia="ja-JP"/>
              </w:rPr>
              <w:t>Companies bring results for “own encoder and decoder” with selected dataset</w:t>
            </w:r>
          </w:p>
          <w:p w14:paraId="4B2521D0">
            <w:pPr>
              <w:pStyle w:val="10"/>
              <w:numPr>
                <w:ilvl w:val="0"/>
                <w:numId w:val="8"/>
              </w:numPr>
              <w:spacing w:after="120"/>
              <w:ind w:firstLine="1123" w:firstLineChars="0"/>
              <w:rPr>
                <w:rFonts w:hint="default" w:ascii="Times New Roman" w:hAnsi="Times New Roman" w:eastAsia="宋体" w:cs="Times New Roman"/>
                <w:color w:val="auto"/>
                <w:sz w:val="20"/>
                <w:szCs w:val="20"/>
                <w:lang w:eastAsia="zh-CN"/>
              </w:rPr>
            </w:pPr>
            <w:r>
              <w:rPr>
                <w:rFonts w:hint="default" w:ascii="Times New Roman" w:hAnsi="Times New Roman" w:eastAsia="Yu Mincho" w:cs="Times New Roman"/>
                <w:color w:val="auto"/>
                <w:sz w:val="20"/>
                <w:szCs w:val="20"/>
                <w:lang w:eastAsia="ja-JP"/>
              </w:rPr>
              <w:t>performance alignment to be checked (</w:t>
            </w:r>
          </w:p>
          <w:p w14:paraId="18AA9B93">
            <w:pPr>
              <w:pStyle w:val="10"/>
              <w:numPr>
                <w:ilvl w:val="3"/>
                <w:numId w:val="7"/>
              </w:numPr>
              <w:overflowPunct/>
              <w:autoSpaceDE/>
              <w:autoSpaceDN/>
              <w:adjustRightInd/>
              <w:spacing w:after="120"/>
              <w:ind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Yu Mincho" w:cs="Times New Roman"/>
                <w:color w:val="auto"/>
                <w:sz w:val="20"/>
                <w:szCs w:val="20"/>
                <w:lang w:eastAsia="ja-JP"/>
              </w:rPr>
              <w:t>Conclude Option 4a feasibility</w:t>
            </w:r>
          </w:p>
          <w:p w14:paraId="152B2BFF">
            <w:pPr>
              <w:pStyle w:val="10"/>
              <w:numPr>
                <w:ilvl w:val="2"/>
                <w:numId w:val="9"/>
              </w:numPr>
              <w:overflowPunct/>
              <w:autoSpaceDE/>
              <w:autoSpaceDN/>
              <w:adjustRightInd/>
              <w:spacing w:after="120"/>
              <w:ind w:firstLineChars="0"/>
              <w:textAlignment w:val="auto"/>
              <w:rPr>
                <w:rFonts w:hint="default" w:ascii="Times New Roman" w:hAnsi="Times New Roman" w:eastAsia="Yu Mincho" w:cs="Times New Roman"/>
                <w:color w:val="auto"/>
                <w:sz w:val="20"/>
                <w:szCs w:val="20"/>
                <w:lang w:eastAsia="ja-JP"/>
              </w:rPr>
            </w:pPr>
            <w:r>
              <w:rPr>
                <w:rFonts w:hint="default" w:ascii="Times New Roman" w:hAnsi="Times New Roman" w:eastAsia="Yu Mincho" w:cs="Times New Roman"/>
                <w:color w:val="auto"/>
                <w:sz w:val="20"/>
                <w:szCs w:val="20"/>
                <w:lang w:eastAsia="ja-JP"/>
              </w:rPr>
              <w:t>feasibility criteria to be discussed (e.g. Perform testing of all the UE encoders using all test decoders (replicating the process of testing UE’s against RAN4 requirements with different TE vendor decoders, others given in R4-2415376, etc ).</w:t>
            </w:r>
          </w:p>
          <w:p w14:paraId="38F5FECC">
            <w:pPr>
              <w:pStyle w:val="10"/>
              <w:numPr>
                <w:ilvl w:val="1"/>
                <w:numId w:val="6"/>
              </w:numPr>
              <w:overflowPunct/>
              <w:autoSpaceDE/>
              <w:autoSpaceDN/>
              <w:adjustRightInd/>
              <w:spacing w:after="120"/>
              <w:ind w:left="1440" w:firstLineChars="0"/>
              <w:textAlignment w:val="auto"/>
              <w:rPr>
                <w:rFonts w:hint="default" w:ascii="Times New Roman" w:hAnsi="Times New Roman" w:eastAsia="等线" w:cs="Times New Roman"/>
                <w:bCs/>
                <w:iCs/>
                <w:color w:val="auto"/>
                <w:sz w:val="20"/>
                <w:szCs w:val="20"/>
                <w:vertAlign w:val="baseline"/>
                <w:lang w:val="en-US" w:eastAsia="zh-CN"/>
              </w:rPr>
            </w:pPr>
            <w:r>
              <w:rPr>
                <w:rFonts w:hint="default" w:ascii="Times New Roman" w:hAnsi="Times New Roman" w:eastAsia="Yu Mincho" w:cs="Times New Roman"/>
                <w:color w:val="auto"/>
                <w:sz w:val="20"/>
                <w:szCs w:val="20"/>
                <w:lang w:eastAsia="ja-JP"/>
              </w:rPr>
              <w:t>Option 2: Others</w:t>
            </w:r>
          </w:p>
        </w:tc>
      </w:tr>
    </w:tbl>
    <w:p w14:paraId="284EF80E">
      <w:pPr>
        <w:spacing w:after="180" w:line="240" w:lineRule="exact"/>
        <w:rPr>
          <w:rFonts w:hint="eastAsia" w:ascii="Times New Roman" w:hAnsi="Times New Roman" w:eastAsia="等线"/>
          <w:bCs/>
          <w:iCs/>
          <w:sz w:val="20"/>
          <w:szCs w:val="20"/>
          <w:lang w:val="en-US" w:eastAsia="zh-CN"/>
        </w:rPr>
      </w:pPr>
    </w:p>
    <w:p w14:paraId="570E1DE9">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Option 3 is to standarize test decoder. Instead of specification of decoder, option 4 is to standarize sufficient information so that TE vendor can develop a test decoder. In detail, there are 3 sub-options:</w:t>
      </w:r>
    </w:p>
    <w:p w14:paraId="190C3348">
      <w:pPr>
        <w:numPr>
          <w:ilvl w:val="0"/>
          <w:numId w:val="10"/>
        </w:numPr>
        <w:spacing w:before="120" w:beforeLines="50" w:after="120"/>
        <w:ind w:left="420" w:leftChars="0" w:hanging="420" w:firstLineChars="0"/>
        <w:rPr>
          <w:rFonts w:hint="default" w:ascii="Times New Roman" w:hAnsi="Times New Roman" w:eastAsia="游明朝" w:cs="Times New Roman"/>
          <w:iCs/>
          <w:sz w:val="20"/>
          <w:szCs w:val="20"/>
          <w:lang w:eastAsia="ja-JP"/>
        </w:rPr>
      </w:pPr>
      <w:r>
        <w:rPr>
          <w:rFonts w:hint="eastAsia" w:ascii="Times New Roman" w:hAnsi="Times New Roman" w:eastAsia="游明朝" w:cs="Times New Roman"/>
          <w:iCs/>
          <w:sz w:val="20"/>
          <w:szCs w:val="20"/>
          <w:lang w:val="en-US" w:eastAsia="zh-CN"/>
        </w:rPr>
        <w:t xml:space="preserve">Option </w:t>
      </w:r>
      <w:r>
        <w:rPr>
          <w:rFonts w:hint="default" w:ascii="Times New Roman" w:hAnsi="Times New Roman" w:eastAsia="游明朝" w:cs="Times New Roman"/>
          <w:iCs/>
          <w:sz w:val="20"/>
          <w:szCs w:val="20"/>
          <w:lang w:eastAsia="ja-JP"/>
        </w:rPr>
        <w:t>4a: Dataset based: specify at least dataset based on which the test decoder can be implemented by TE vendors</w:t>
      </w:r>
    </w:p>
    <w:p w14:paraId="506335AD">
      <w:pPr>
        <w:numPr>
          <w:ilvl w:val="0"/>
          <w:numId w:val="10"/>
        </w:numPr>
        <w:spacing w:before="120" w:beforeLines="50" w:after="120"/>
        <w:ind w:left="420" w:leftChars="0" w:hanging="420" w:firstLineChars="0"/>
        <w:rPr>
          <w:rFonts w:hint="default" w:ascii="Times New Roman" w:hAnsi="Times New Roman" w:eastAsia="游明朝" w:cs="Times New Roman"/>
          <w:iCs/>
          <w:sz w:val="20"/>
          <w:szCs w:val="20"/>
          <w:lang w:eastAsia="ja-JP"/>
        </w:rPr>
      </w:pPr>
      <w:r>
        <w:rPr>
          <w:rFonts w:hint="eastAsia" w:ascii="Times New Roman" w:hAnsi="Times New Roman" w:eastAsia="游明朝" w:cs="Times New Roman"/>
          <w:iCs/>
          <w:sz w:val="20"/>
          <w:szCs w:val="20"/>
          <w:lang w:val="en-US" w:eastAsia="zh-CN"/>
        </w:rPr>
        <w:t xml:space="preserve">Option </w:t>
      </w:r>
      <w:r>
        <w:rPr>
          <w:rFonts w:hint="default" w:ascii="Times New Roman" w:hAnsi="Times New Roman" w:eastAsia="游明朝" w:cs="Times New Roman"/>
          <w:iCs/>
          <w:sz w:val="20"/>
          <w:szCs w:val="20"/>
          <w:lang w:eastAsia="ja-JP"/>
        </w:rPr>
        <w:t xml:space="preserve">4b: Reference encoder based: encoder is documented in the specifications, used to derive a decoder to be implemented by TE vendors </w:t>
      </w:r>
    </w:p>
    <w:p w14:paraId="59840920">
      <w:pPr>
        <w:numPr>
          <w:ilvl w:val="0"/>
          <w:numId w:val="10"/>
        </w:numPr>
        <w:spacing w:after="180" w:line="240" w:lineRule="exact"/>
        <w:ind w:left="420" w:leftChars="0" w:hanging="420" w:firstLineChars="0"/>
        <w:rPr>
          <w:rFonts w:hint="default" w:ascii="Times New Roman" w:hAnsi="Times New Roman" w:eastAsia="等线" w:cs="Times New Roman"/>
          <w:bCs/>
          <w:iCs/>
          <w:sz w:val="20"/>
          <w:szCs w:val="20"/>
          <w:lang w:val="en-US" w:eastAsia="zh-CN"/>
        </w:rPr>
      </w:pPr>
      <w:r>
        <w:rPr>
          <w:rFonts w:hint="eastAsia" w:ascii="Times New Roman" w:hAnsi="Times New Roman" w:eastAsia="游明朝" w:cs="Times New Roman"/>
          <w:iCs/>
          <w:sz w:val="20"/>
          <w:szCs w:val="20"/>
          <w:lang w:val="en-US" w:eastAsia="zh-CN"/>
        </w:rPr>
        <w:t xml:space="preserve">Option </w:t>
      </w:r>
      <w:r>
        <w:rPr>
          <w:rFonts w:hint="default" w:ascii="Times New Roman" w:hAnsi="Times New Roman" w:eastAsia="游明朝" w:cs="Times New Roman"/>
          <w:iCs/>
          <w:sz w:val="20"/>
          <w:szCs w:val="20"/>
          <w:lang w:eastAsia="ja-JP"/>
        </w:rPr>
        <w:t>4c: do not specify either reference encoder or dataset. specify enough constraints on the decoder output ordering</w:t>
      </w:r>
      <w:r>
        <w:rPr>
          <w:rFonts w:hint="default" w:ascii="Times New Roman" w:hAnsi="Times New Roman" w:eastAsia="等线" w:cs="Times New Roman"/>
          <w:bCs/>
          <w:iCs/>
          <w:sz w:val="20"/>
          <w:szCs w:val="20"/>
          <w:lang w:val="en-US" w:eastAsia="zh-CN"/>
        </w:rPr>
        <w:t xml:space="preserve">  </w:t>
      </w:r>
    </w:p>
    <w:p w14:paraId="10764FBD">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The motivation of this test feasibility study for two-sided mode is to reduce the impact due to TE implemeting the test decoder so that TE could provide alligned results and the tests are repeatable.</w:t>
      </w:r>
    </w:p>
    <w:p w14:paraId="294D435D">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option 4a, if only dataset is specified, it is questionable above motivation can be achived, since decoder implement by TE vendor and encoder implemented by UE vendor may be based on different backbone. </w:t>
      </w:r>
    </w:p>
    <w:p w14:paraId="77C021AE">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option 4b, encoder is documented in the specification. Compared with option 3 with documenting doceder, there is not too much difference.</w:t>
      </w:r>
    </w:p>
    <w:p w14:paraId="4D1D0F56">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Option 4c, in our view, is a sub-set of option 3, which means option 3 discussion can be reused for option4.   </w:t>
      </w:r>
    </w:p>
    <w:p w14:paraId="31CAD139">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What</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s more, it is also proposed to document reference encoder and/or training dataset for Option 3 for the purpose of performance verification or TE test decoder verification. From this point of view, we do not see the ncessity to consider option 4 if option 3 is confirmed feasible. </w:t>
      </w:r>
    </w:p>
    <w:p w14:paraId="6C033038">
      <w:pPr>
        <w:spacing w:after="180" w:line="240" w:lineRule="exact"/>
        <w:rPr>
          <w:rFonts w:hint="eastAsia" w:ascii="Times New Roman" w:hAnsi="Times New Roman" w:eastAsia="宋体" w:cs="Times New Roman"/>
          <w:b w:val="0"/>
          <w:bCs/>
          <w:iCs/>
          <w:sz w:val="20"/>
          <w:szCs w:val="20"/>
          <w:u w:val="none"/>
          <w:lang w:val="en-US" w:eastAsia="zh-CN"/>
        </w:rPr>
      </w:pPr>
      <w:r>
        <w:rPr>
          <w:rFonts w:hint="eastAsia" w:ascii="Times New Roman" w:hAnsi="Times New Roman" w:eastAsia="宋体" w:cs="Times New Roman"/>
          <w:b/>
          <w:bCs/>
          <w:i/>
          <w:iCs w:val="0"/>
          <w:sz w:val="20"/>
          <w:szCs w:val="20"/>
          <w:lang w:val="en-US" w:eastAsia="zh-CN"/>
        </w:rPr>
        <w:t xml:space="preserve">Proposal </w:t>
      </w:r>
      <w:r>
        <w:rPr>
          <w:rFonts w:hint="eastAsia" w:ascii="Times New Roman" w:hAnsi="Times New Roman" w:cs="Times New Roman"/>
          <w:b/>
          <w:bCs/>
          <w:i/>
          <w:iCs w:val="0"/>
          <w:sz w:val="20"/>
          <w:szCs w:val="20"/>
          <w:lang w:val="en-US" w:eastAsia="zh-CN"/>
        </w:rPr>
        <w:t>2</w:t>
      </w:r>
      <w:r>
        <w:rPr>
          <w:rFonts w:hint="eastAsia" w:ascii="Times New Roman" w:hAnsi="Times New Roman" w:eastAsia="宋体" w:cs="Times New Roman"/>
          <w:b/>
          <w:bCs/>
          <w:i/>
          <w:iCs w:val="0"/>
          <w:sz w:val="20"/>
          <w:szCs w:val="20"/>
          <w:lang w:val="en-US" w:eastAsia="zh-CN"/>
        </w:rPr>
        <w:t xml:space="preserve">: </w:t>
      </w:r>
      <w:r>
        <w:rPr>
          <w:rFonts w:hint="eastAsia" w:ascii="Times New Roman" w:hAnsi="Times New Roman" w:cs="Times New Roman"/>
          <w:b/>
          <w:bCs/>
          <w:i/>
          <w:iCs w:val="0"/>
          <w:sz w:val="20"/>
          <w:szCs w:val="20"/>
          <w:lang w:val="en-US" w:eastAsia="zh-CN"/>
        </w:rPr>
        <w:t>it is proposed to discuss if option 3 is feasible, whether option 4 is still needed</w:t>
      </w:r>
      <w:r>
        <w:rPr>
          <w:rFonts w:ascii="Times New Roman" w:hAnsi="Times New Roman" w:eastAsia="Yu Mincho"/>
          <w:b/>
          <w:bCs/>
          <w:i/>
          <w:iCs/>
          <w:sz w:val="20"/>
          <w:szCs w:val="20"/>
          <w:lang w:eastAsia="ja-JP"/>
        </w:rPr>
        <w:t>.</w:t>
      </w:r>
    </w:p>
    <w:p w14:paraId="3E82CF69">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28E3A8FB">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rPr>
        <w:t>testability and interoperability issues for CSI compression. The proposals are:</w:t>
      </w:r>
    </w:p>
    <w:p w14:paraId="75906A70">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for option 3 feasibility strudy, the decoders can be selected randomly.</w:t>
      </w:r>
    </w:p>
    <w:p w14:paraId="3C8D8A91">
      <w:pPr>
        <w:spacing w:after="180" w:line="240" w:lineRule="exact"/>
        <w:rPr>
          <w:rFonts w:hint="eastAsia" w:ascii="Times New Roman" w:hAnsi="Times New Roman"/>
          <w:sz w:val="20"/>
          <w:szCs w:val="20"/>
        </w:rPr>
      </w:pPr>
      <w:r>
        <w:rPr>
          <w:rFonts w:hint="eastAsia" w:ascii="Times New Roman" w:hAnsi="Times New Roman" w:eastAsia="宋体" w:cs="Times New Roman"/>
          <w:b/>
          <w:bCs/>
          <w:i/>
          <w:iCs w:val="0"/>
          <w:sz w:val="20"/>
          <w:szCs w:val="20"/>
          <w:lang w:val="en-US" w:eastAsia="zh-CN"/>
        </w:rPr>
        <w:t xml:space="preserve">Proposal </w:t>
      </w:r>
      <w:r>
        <w:rPr>
          <w:rFonts w:hint="eastAsia" w:ascii="Times New Roman" w:hAnsi="Times New Roman" w:cs="Times New Roman"/>
          <w:b/>
          <w:bCs/>
          <w:i/>
          <w:iCs w:val="0"/>
          <w:sz w:val="20"/>
          <w:szCs w:val="20"/>
          <w:lang w:val="en-US" w:eastAsia="zh-CN"/>
        </w:rPr>
        <w:t>2</w:t>
      </w:r>
      <w:r>
        <w:rPr>
          <w:rFonts w:hint="eastAsia" w:ascii="Times New Roman" w:hAnsi="Times New Roman" w:eastAsia="宋体" w:cs="Times New Roman"/>
          <w:b/>
          <w:bCs/>
          <w:i/>
          <w:iCs w:val="0"/>
          <w:sz w:val="20"/>
          <w:szCs w:val="20"/>
          <w:lang w:val="en-US" w:eastAsia="zh-CN"/>
        </w:rPr>
        <w:t xml:space="preserve">: </w:t>
      </w:r>
      <w:r>
        <w:rPr>
          <w:rFonts w:hint="eastAsia" w:ascii="Times New Roman" w:hAnsi="Times New Roman" w:cs="Times New Roman"/>
          <w:b/>
          <w:bCs/>
          <w:i/>
          <w:iCs w:val="0"/>
          <w:sz w:val="20"/>
          <w:szCs w:val="20"/>
          <w:lang w:val="en-US" w:eastAsia="zh-CN"/>
        </w:rPr>
        <w:t>it is proposed to discuss if option 3 is feasible, whether option 4 is still needed</w:t>
      </w:r>
      <w:r>
        <w:rPr>
          <w:rFonts w:ascii="Times New Roman" w:hAnsi="Times New Roman" w:eastAsia="Yu Mincho"/>
          <w:b/>
          <w:bCs/>
          <w:i/>
          <w:iCs/>
          <w:sz w:val="20"/>
          <w:szCs w:val="20"/>
          <w:lang w:eastAsia="ja-JP"/>
        </w:rPr>
        <w:t>.</w:t>
      </w:r>
    </w:p>
    <w:p w14:paraId="385898E3">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29F9F72">
      <w:pPr>
        <w:pStyle w:val="12"/>
        <w:framePr w:wrap="auto" w:vAnchor="margin" w:hAnchor="text" w:yAlign="inline"/>
        <w:numPr>
          <w:ilvl w:val="0"/>
          <w:numId w:val="11"/>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234039</w:t>
      </w:r>
      <w:r>
        <w:rPr>
          <w:rFonts w:ascii="Times" w:hAnsi="Times" w:eastAsia="宋体"/>
          <w:b w:val="0"/>
          <w:sz w:val="20"/>
          <w:lang w:eastAsia="zh-CN"/>
        </w:rPr>
        <w:t xml:space="preserve">, </w:t>
      </w:r>
      <w:r>
        <w:rPr>
          <w:rFonts w:hint="eastAsia" w:ascii="Times" w:hAnsi="Times" w:eastAsia="宋体"/>
          <w:b w:val="0"/>
          <w:sz w:val="20"/>
          <w:lang w:eastAsia="zh-CN"/>
        </w:rPr>
        <w:t>New WID on Artificial Intelligence (AI)/Machine Learning (ML) for NR Air Interface</w:t>
      </w:r>
    </w:p>
    <w:p w14:paraId="58C6DECE">
      <w:pPr>
        <w:pStyle w:val="12"/>
        <w:framePr w:wrap="auto" w:vAnchor="margin" w:hAnchor="text" w:yAlign="inline"/>
        <w:numPr>
          <w:ilvl w:val="0"/>
          <w:numId w:val="11"/>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242399, </w:t>
      </w:r>
      <w:r>
        <w:rPr>
          <w:rFonts w:hint="eastAsia" w:ascii="Times" w:hAnsi="Times" w:eastAsia="宋体"/>
          <w:b w:val="0"/>
          <w:sz w:val="20"/>
          <w:lang w:eastAsia="zh-CN"/>
        </w:rPr>
        <w:t>Revised WID on Artificial Intelligence (AI)/Machine Learning (ML) for NR Air Interface</w:t>
      </w:r>
    </w:p>
    <w:p w14:paraId="677DFB53">
      <w:pPr>
        <w:pStyle w:val="12"/>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26C07E5D">
      <w:pPr>
        <w:pStyle w:val="12"/>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36BA34A8">
      <w:pPr>
        <w:pStyle w:val="12"/>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293AD1C9">
      <w:pPr>
        <w:pStyle w:val="12"/>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6F4FCF3C">
      <w:pPr>
        <w:pStyle w:val="12"/>
        <w:framePr w:wrap="auto" w:vAnchor="margin" w:hAnchor="text" w:yAlign="inline"/>
        <w:ind w:right="400"/>
        <w:jc w:val="both"/>
        <w:rPr>
          <w:rFonts w:ascii="Times" w:hAnsi="Times" w:eastAsia="宋体"/>
          <w:b w:val="0"/>
          <w:sz w:val="20"/>
          <w:lang w:eastAsia="zh-CN"/>
        </w:rPr>
      </w:pPr>
      <w:r>
        <w:rPr>
          <w:rFonts w:hint="eastAsia" w:ascii="Times" w:hAnsi="Times" w:eastAsia="宋体"/>
          <w:b w:val="0"/>
          <w:sz w:val="20"/>
          <w:lang w:val="en-US" w:eastAsia="zh-CN"/>
        </w:rPr>
        <w:t xml:space="preserve">[5] 3GPP TR 38.843, Study on Artificial Intelligence (AI)/Machine Learning (ML) for NR air interface </w:t>
      </w:r>
    </w:p>
    <w:p w14:paraId="6D7B4C94">
      <w:pPr>
        <w:pStyle w:val="12"/>
        <w:framePr w:wrap="auto" w:vAnchor="margin" w:hAnchor="text" w:yAlign="inline"/>
        <w:ind w:right="400"/>
        <w:jc w:val="both"/>
        <w:rPr>
          <w:rFonts w:ascii="Times" w:hAnsi="Times" w:eastAsia="宋体"/>
          <w:b w:val="0"/>
          <w:sz w:val="20"/>
          <w:lang w:eastAsia="zh-CN"/>
        </w:rPr>
      </w:pPr>
    </w:p>
    <w:p w14:paraId="488D3585">
      <w:pPr>
        <w:pStyle w:val="12"/>
        <w:framePr w:wrap="auto" w:vAnchor="margin" w:hAnchor="text" w:yAlign="inline"/>
        <w:ind w:right="400"/>
        <w:jc w:val="both"/>
        <w:rPr>
          <w:rFonts w:hint="eastAsia" w:ascii="Times" w:hAnsi="Times" w:eastAsia="宋体"/>
          <w:b w:val="0"/>
          <w:sz w:val="20"/>
          <w:lang w:val="en-US" w:eastAsia="zh-CN"/>
        </w:rPr>
      </w:pPr>
    </w:p>
    <w:p w14:paraId="54E9534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游明朝">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14F362A0"/>
    <w:multiLevelType w:val="multilevel"/>
    <w:tmpl w:val="14F362A0"/>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Symbol" w:hAnsi="Symbol"/>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6FC2242"/>
    <w:multiLevelType w:val="multilevel"/>
    <w:tmpl w:val="36FC2242"/>
    <w:lvl w:ilvl="0" w:tentative="0">
      <w:start w:val="1"/>
      <w:numFmt w:val="decimal"/>
      <w:lvlText w:val="%1."/>
      <w:lvlJc w:val="left"/>
      <w:pPr>
        <w:ind w:left="360" w:hanging="360"/>
      </w:pPr>
      <w:rPr>
        <w:rFonts w:hint="default"/>
      </w:rPr>
    </w:lvl>
    <w:lvl w:ilvl="1" w:tentative="0">
      <w:start w:val="1"/>
      <w:numFmt w:val="bullet"/>
      <w:lvlText w:val="o"/>
      <w:lvlJc w:val="left"/>
      <w:pPr>
        <w:ind w:left="2000" w:hanging="440"/>
      </w:pPr>
      <w:rPr>
        <w:rFonts w:hint="default" w:ascii="Courier New" w:hAnsi="Courier New" w:cs="Courier New"/>
      </w:rPr>
    </w:lvl>
    <w:lvl w:ilvl="2" w:tentative="0">
      <w:start w:val="1"/>
      <w:numFmt w:val="decimalEnclosedCircle"/>
      <w:lvlText w:val="%3"/>
      <w:lvlJc w:val="left"/>
      <w:pPr>
        <w:ind w:left="1320" w:hanging="440"/>
      </w:pPr>
    </w:lvl>
    <w:lvl w:ilvl="3" w:tentative="0">
      <w:start w:val="1"/>
      <w:numFmt w:val="decimal"/>
      <w:lvlText w:val="%4."/>
      <w:lvlJc w:val="left"/>
      <w:pPr>
        <w:ind w:left="1858" w:hanging="440"/>
      </w:pPr>
    </w:lvl>
    <w:lvl w:ilvl="4" w:tentative="0">
      <w:start w:val="1"/>
      <w:numFmt w:val="aiueoFullWidth"/>
      <w:lvlText w:val="(%5)"/>
      <w:lvlJc w:val="left"/>
      <w:pPr>
        <w:ind w:left="2200" w:hanging="440"/>
      </w:pPr>
    </w:lvl>
    <w:lvl w:ilvl="5" w:tentative="0">
      <w:start w:val="1"/>
      <w:numFmt w:val="decimalEnclosedCircle"/>
      <w:lvlText w:val="%6"/>
      <w:lvlJc w:val="left"/>
      <w:pPr>
        <w:ind w:left="2640" w:hanging="440"/>
      </w:pPr>
    </w:lvl>
    <w:lvl w:ilvl="6" w:tentative="0">
      <w:start w:val="1"/>
      <w:numFmt w:val="decimal"/>
      <w:lvlText w:val="%7."/>
      <w:lvlJc w:val="left"/>
      <w:pPr>
        <w:ind w:left="3080" w:hanging="440"/>
      </w:pPr>
    </w:lvl>
    <w:lvl w:ilvl="7" w:tentative="0">
      <w:start w:val="1"/>
      <w:numFmt w:val="aiueoFullWidth"/>
      <w:lvlText w:val="(%8)"/>
      <w:lvlJc w:val="left"/>
      <w:pPr>
        <w:ind w:left="3520" w:hanging="440"/>
      </w:pPr>
    </w:lvl>
    <w:lvl w:ilvl="8" w:tentative="0">
      <w:start w:val="1"/>
      <w:numFmt w:val="decimalEnclosedCircle"/>
      <w:lvlText w:val="%9"/>
      <w:lvlJc w:val="left"/>
      <w:pPr>
        <w:ind w:left="3960" w:hanging="440"/>
      </w:pPr>
    </w:lvl>
  </w:abstractNum>
  <w:abstractNum w:abstractNumId="4">
    <w:nsid w:val="3AA46647"/>
    <w:multiLevelType w:val="multilevel"/>
    <w:tmpl w:val="3AA46647"/>
    <w:lvl w:ilvl="0" w:tentative="0">
      <w:start w:val="1"/>
      <w:numFmt w:val="decimal"/>
      <w:pStyle w:val="1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AEFB341"/>
    <w:multiLevelType w:val="singleLevel"/>
    <w:tmpl w:val="3AEFB341"/>
    <w:lvl w:ilvl="0" w:tentative="0">
      <w:start w:val="1"/>
      <w:numFmt w:val="bullet"/>
      <w:lvlText w:val=""/>
      <w:lvlJc w:val="left"/>
      <w:pPr>
        <w:ind w:left="420" w:hanging="420"/>
      </w:pPr>
      <w:rPr>
        <w:rFonts w:hint="default" w:ascii="Wingdings" w:hAnsi="Wingdings"/>
      </w:rPr>
    </w:lvl>
  </w:abstractNum>
  <w:abstractNum w:abstractNumId="6">
    <w:nsid w:val="52BF1D56"/>
    <w:multiLevelType w:val="multilevel"/>
    <w:tmpl w:val="52BF1D56"/>
    <w:lvl w:ilvl="0" w:tentative="0">
      <w:start w:val="0"/>
      <w:numFmt w:val="bullet"/>
      <w:lvlText w:val="-"/>
      <w:lvlJc w:val="left"/>
      <w:pPr>
        <w:tabs>
          <w:tab w:val="left" w:pos="-420"/>
        </w:tabs>
        <w:ind w:left="300" w:hanging="360"/>
      </w:pPr>
      <w:rPr>
        <w:rFonts w:hint="default" w:ascii="Times New Roman" w:hAnsi="Times New Roman" w:eastAsia="MS Mincho"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A40026E"/>
    <w:multiLevelType w:val="multilevel"/>
    <w:tmpl w:val="5A40026E"/>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9">
    <w:nsid w:val="5C53269D"/>
    <w:multiLevelType w:val="multilevel"/>
    <w:tmpl w:val="5C53269D"/>
    <w:lvl w:ilvl="0" w:tentative="0">
      <w:start w:val="1"/>
      <w:numFmt w:val="bullet"/>
      <w:lvlText w:val="-"/>
      <w:lvlJc w:val="left"/>
      <w:pPr>
        <w:ind w:left="720" w:hanging="360"/>
      </w:pPr>
      <w:rPr>
        <w:rFonts w:hint="default" w:ascii="Times New Roman" w:hAnsi="Times New Roman" w:cs="Times New Roman" w:eastAsiaTheme="minorHAns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0"/>
  </w:num>
  <w:num w:numId="2">
    <w:abstractNumId w:val="4"/>
  </w:num>
  <w:num w:numId="3">
    <w:abstractNumId w:val="2"/>
  </w:num>
  <w:num w:numId="4">
    <w:abstractNumId w:val="8"/>
  </w:num>
  <w:num w:numId="5">
    <w:abstractNumId w:val="6"/>
  </w:num>
  <w:num w:numId="6">
    <w:abstractNumId w:val="7"/>
  </w:num>
  <w:num w:numId="7">
    <w:abstractNumId w:val="3"/>
  </w:num>
  <w:num w:numId="8">
    <w:abstractNumId w:val="9"/>
  </w:num>
  <w:num w:numId="9">
    <w:abstractNumId w:val="1"/>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12645E"/>
    <w:rsid w:val="0FE50EF5"/>
    <w:rsid w:val="15685863"/>
    <w:rsid w:val="15C5068C"/>
    <w:rsid w:val="1A4B52AF"/>
    <w:rsid w:val="1C9551F4"/>
    <w:rsid w:val="2ABC535A"/>
    <w:rsid w:val="308E7578"/>
    <w:rsid w:val="383B64F5"/>
    <w:rsid w:val="3DEF01B7"/>
    <w:rsid w:val="48EF0070"/>
    <w:rsid w:val="4B9225B0"/>
    <w:rsid w:val="4D3D03C8"/>
    <w:rsid w:val="510E3CB2"/>
    <w:rsid w:val="53210098"/>
    <w:rsid w:val="6D205895"/>
    <w:rsid w:val="75886832"/>
    <w:rsid w:val="7C3F4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0"/>
  </w:style>
  <w:style w:type="paragraph" w:styleId="5">
    <w:name w:val="Date"/>
    <w:basedOn w:val="1"/>
    <w:next w:val="1"/>
    <w:unhideWhenUsed/>
    <w:qFormat/>
    <w:uiPriority w:val="99"/>
    <w:pPr>
      <w:ind w:left="100" w:leftChars="2500"/>
    </w:pPr>
  </w:style>
  <w:style w:type="paragraph" w:styleId="6">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8">
    <w:name w:val="Table Grid"/>
    <w:basedOn w:val="7"/>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widowControl/>
      <w:ind w:firstLine="420" w:firstLineChars="200"/>
      <w:jc w:val="left"/>
    </w:pPr>
    <w:rPr>
      <w:rFonts w:ascii="宋体" w:hAnsi="宋体"/>
      <w:kern w:val="0"/>
    </w:rPr>
  </w:style>
  <w:style w:type="paragraph" w:customStyle="1" w:styleId="11">
    <w:name w:val="Proposal"/>
    <w:basedOn w:val="4"/>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2024-11-08T08:23:15Z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6869B0C1A34749A384ADE3AAD7A61322</vt:lpwstr>
  </property>
</Properties>
</file>